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80"/>
        <w:jc w:val="center"/>
      </w:pPr>
      <w:r>
        <w:rPr>
          <w:rFonts w:ascii="Bebas Neue" w:hAnsi="Bebas Neue" w:cs="Bebas Neue" w:eastAsia="Bebas Neue"/>
          <w:color w:val="102D27"/>
          <w:sz w:val="56"/>
        </w:rPr>
        <w:t>ЭКОРЕЙТИНГ</w:t>
      </w:r>
    </w:p>
    <w:p>
      <w:pPr>
        <w:jc w:val="center"/>
      </w:pPr>
      <w:r>
        <w:rPr>
          <w:rFonts w:ascii="Arial" w:hAnsi="Arial" w:cs="Arial" w:eastAsia="Arial"/>
          <w:b/>
          <w:color w:val="53655D"/>
          <w:sz w:val="22"/>
        </w:rPr>
        <w:t>ПРАВИЛА ЭКОРЕЙТИНГА 01-2026</w:t>
      </w:r>
    </w:p>
    <w:p>
      <w:pPr>
        <w:pStyle w:val="Title"/>
        <w:jc w:val="center"/>
      </w:pPr>
      <w:r>
        <w:t>Правила дистанционных услуг, проверки и знака</w:t>
      </w:r>
    </w:p>
    <w:p>
      <w:pPr>
        <w:spacing w:after="600"/>
        <w:jc w:val="center"/>
      </w:pPr>
      <w:r>
        <w:rPr>
          <w:rFonts w:ascii="Arial" w:hAnsi="Arial"/>
          <w:color w:val="53655D"/>
          <w:sz w:val="30"/>
        </w:rPr>
        <w:t>Тарифы, автоматизация, решения, переносимое досье и независимая сертификация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Проект. Не является свидетельством аккредитованной сертификации.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Владелец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ИП Лобов А.А.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ИНН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910800051911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Версия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1.2 (проект)</w:t>
            </w:r>
          </w:p>
        </w:tc>
      </w:tr>
    </w:tbl>
    <w:p/>
    <w:p>
      <w:pPr>
        <w:jc w:val="center"/>
      </w:pPr>
      <w:r>
        <w:rPr>
          <w:color w:val="53655D"/>
          <w:sz w:val="18"/>
        </w:rPr>
        <w:t>Москва · 2026</w:t>
      </w:r>
    </w:p>
    <w:p>
      <w:r>
        <w:br w:type="page"/>
      </w:r>
    </w:p>
    <w:p>
      <w:pPr>
        <w:pStyle w:val="Heading1"/>
      </w:pPr>
      <w:r>
        <w:t>Статус документа и самостоятельность разработки</w:t>
      </w:r>
    </w:p>
    <w:p>
      <w:r>
        <w:t>Правила описывают коммерческую и операционную работу системы ЭкоРейтинг. Они не заменяют договор, оферту, политику обработки данных и юридическую проверку перед запуском.</w:t>
      </w:r>
    </w:p>
    <w:p>
      <w:r>
        <w:t>Оператор системы — ИП Лобов А.А., ИНН 910800051911. Официальную сертификацию при необходимости выполняет отдельный компетентный орган.</w:t>
      </w:r>
    </w:p>
    <w:p>
      <w:pPr>
        <w:pStyle w:val="Heading1"/>
      </w:pPr>
      <w:r>
        <w:t>1 Продуктовая линейка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Продукт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Цена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Что не входит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Тест-драйв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0 ₽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Закрытый расчёт и краткие рекомендации.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Публикация, экспертиза, знак.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Участник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2 990 ₽ / 12 мес.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Публичная самооценка, карточка, виджет, дата среза.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Проверка доказательств.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ЭкоСтарт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19 900 ₽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Участие на год, расширенный PDF, автопроверка полноты, дистанционный разбор на 60 минут, план подготовки.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Подтверждённый статус и знак.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Подтверждение данных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 42 000 ₽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Дистанционная проверка доказательств, один цикл уточнений и решение по статусу.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Осмотр на месте и независимый сертификат.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Право использования знака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 12 000 ₽ / 12 мес.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Использование подтверждающего знака в согласованных каналах.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Продление проверки.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Повторная проверка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 30 000 ₽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Новый срез и продление подтверждения.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Право на знак оплачивается отдельно.</w:t>
            </w:r>
          </w:p>
        </w:tc>
      </w:tr>
    </w:tbl>
    <w:p>
      <w:pPr>
        <w:pStyle w:val="Heading1"/>
      </w:pPr>
      <w:r>
        <w:t>2 Экономика и трудоёмкость</w:t>
      </w:r>
    </w:p>
    <w:p>
      <w:r>
        <w:t>Нормативная ставка экспертной работы — 6 000 ₽/час. Автоматизация сокращает формальные операции, но решение, выборка доказательств и критические случаи остаются за специалистом.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Номера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Первичная проверка, от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Норматив, от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Первый год со знаком, от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1–20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42 000 ₽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7,0 ч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54 000 ₽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21–50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42 400 ₽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7,1 ч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54 400 ₽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51–100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54 300 ₽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9,1 ч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66 300 ₽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101–200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69 200 ₽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11,5 ч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81 200 ₽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201–300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93 200 ₽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15,5 ч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105 200 ₽</w:t>
            </w:r>
          </w:p>
        </w:tc>
      </w:tr>
    </w:tbl>
    <w:p>
      <w:r>
        <w:t>Точная публичная стоимость рассчитывается ползунком по количеству номеров: от 42 000 ₽ за 1–20 номеров; следующие 30 номеров добавляют по 400 ₽, следующие 50 — по 300 ₽, следующие 100 — по 240 ₽, следующие 100 — по 180 ₽. Все суммы обозначаются «от». Более 300 номеров, сеть и несколько объектов оформляются отдельным дистанционным предложением.</w:t>
      </w:r>
    </w:p>
    <w:p>
      <w:r>
        <w:t>Повторная проверка: 60% расчётной первичной проверки, но не менее 30 000 ₽. Право использования знака: от 12 000 ₽ на 12 месяцев. Публичное участие 2 990 ₽ включено в первый год подтверждённого формата.</w:t>
      </w:r>
    </w:p>
    <w:p>
      <w:pPr>
        <w:pStyle w:val="Heading1"/>
      </w:pPr>
      <w:r>
        <w:t>3 Массовая услуга «ЭкоСтарт»</w:t>
      </w:r>
    </w:p>
    <w:p>
      <w:r>
        <w:t>Услуга спроектирована для поточного оказания с максимальной автоматизацией и лимитом внутренней трудоёмкости до 2,5 часа. При нормативе 6 000 ₽/час прямой экспертный ресурс не превышает 15 000 ₽.</w:t>
      </w:r>
    </w:p>
    <w:p>
      <w:pPr>
        <w:pStyle w:val="ListNumber"/>
      </w:pPr>
      <w:r>
        <w:t>Система автоматически проверяет заполненность, даты, диапазоны, арифметику и наличие файлов.</w:t>
      </w:r>
    </w:p>
    <w:p>
      <w:pPr>
        <w:pStyle w:val="ListNumber"/>
      </w:pPr>
      <w:r>
        <w:t>Генерируется расширенный внутренний PDF с баллом, пробелами, дорожной картой и предложением следующего шага.</w:t>
      </w:r>
    </w:p>
    <w:p>
      <w:pPr>
        <w:pStyle w:val="ListNumber"/>
      </w:pPr>
      <w:r>
        <w:t>Эксперт изучает сводку флагов, а не весь массив документов.</w:t>
      </w:r>
    </w:p>
    <w:p>
      <w:pPr>
        <w:pStyle w:val="ListNumber"/>
      </w:pPr>
      <w:r>
        <w:t>Проводится один дистанционный разбор на 60 минут по заранее сформированному списку вопросов.</w:t>
      </w:r>
    </w:p>
    <w:p>
      <w:pPr>
        <w:pStyle w:val="ListNumber"/>
      </w:pPr>
      <w:r>
        <w:t>Клиент получает план подготовки, но не получает статус «Данные подтверждены» и право на подтверждающий знак.</w:t>
      </w:r>
    </w:p>
    <w:p>
      <w:r>
        <w:t>Если клиент заказывает первичное подтверждение в течение 60 календарных дней после «ЭкоСтарта» и исходный пакет существенно не изменился, 10 000 ₽ засчитываются в стоимость подтверждения. Это исключает повторную оплату уже выполненной подготовки и сохраняет норматив не ниже 6 000 ₽ за час экспертной работы.</w:t>
      </w:r>
    </w:p>
    <w:p>
      <w:r>
        <w:t>Публичное участие 2 990 ₽ уже включено в «ЭкоСтарт» и подтверждённый формат и не начисляется повторно за пересекающийся период.</w:t>
      </w:r>
    </w:p>
    <w:p>
      <w:r>
        <w:br w:type="page"/>
      </w:r>
    </w:p>
    <w:p>
      <w:pPr>
        <w:pStyle w:val="Heading1"/>
      </w:pPr>
      <w:r>
        <w:t>4 Калькулятор цены</w:t>
      </w:r>
    </w:p>
    <w:p>
      <w:r>
        <w:t>Калькулятор обязан отдельно показывать: первичную проверку; право использования знака; итог первого года; повторную проверку; итог следующего года. Рядом указывается базовая нормативная трудоёмкость и ограничения расчёта.</w:t>
      </w:r>
    </w:p>
    <w:p>
      <w:pPr>
        <w:pStyle w:val="Heading1"/>
      </w:pPr>
      <w:r>
        <w:t>5 Процесс клиента</w:t>
      </w:r>
    </w:p>
    <w:p>
      <w:pPr>
        <w:pStyle w:val="ListNumber"/>
      </w:pPr>
      <w:r>
        <w:t>Заявка создаёт черновик объекта и кабинет после подтверждения администратором.</w:t>
      </w:r>
    </w:p>
    <w:p>
      <w:pPr>
        <w:pStyle w:val="ListNumber"/>
      </w:pPr>
      <w:r>
        <w:t>Представитель заполняет паспорт, периоды, показатели и практики частями.</w:t>
      </w:r>
    </w:p>
    <w:p>
      <w:pPr>
        <w:pStyle w:val="ListNumber"/>
      </w:pPr>
      <w:r>
        <w:t>Черновик сохраняется без публикации и без блокировки.</w:t>
      </w:r>
    </w:p>
    <w:p>
      <w:pPr>
        <w:pStyle w:val="ListNumber"/>
      </w:pPr>
      <w:r>
        <w:t>Пробный расчёт создаёт внутренний отчёт.</w:t>
      </w:r>
    </w:p>
    <w:p>
      <w:pPr>
        <w:pStyle w:val="ListNumber"/>
      </w:pPr>
      <w:r>
        <w:t>Публичная отправка фиксирует срез; изменение возможно только по запросу.</w:t>
      </w:r>
    </w:p>
    <w:p>
      <w:pPr>
        <w:pStyle w:val="ListNumber"/>
      </w:pPr>
      <w:r>
        <w:t>ЭкоСтарт формирует флаги и экспертный разбор без проверки каждого доказательства.</w:t>
      </w:r>
    </w:p>
    <w:p>
      <w:pPr>
        <w:pStyle w:val="ListNumber"/>
      </w:pPr>
      <w:r>
        <w:t>Полное подтверждение создаёт очередь только по обязательным, рискованным и выборочным элементам.</w:t>
      </w:r>
    </w:p>
    <w:p>
      <w:pPr>
        <w:pStyle w:val="ListNumber"/>
      </w:pPr>
      <w:r>
        <w:t>Решение задаёт статус, область, срок проверки и срок права на знак.</w:t>
      </w:r>
    </w:p>
    <w:p>
      <w:pPr>
        <w:pStyle w:val="Heading1"/>
      </w:pPr>
      <w:r>
        <w:t>6 Матрица автоматизации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Операция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Система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Эксперт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Комплектность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100% полей и файлов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Только исключения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Расчёт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100% формул и нормирования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Проверка аномалий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Даты и сроки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Автопроверка и уведомления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Решение при исключении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Доказательства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Распознавание метаданных, коды, дубли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Смысловая выборка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Критические условия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Предзаполнение по данным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Обязательное решение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Отчёт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Автогенерация PDF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Комментарий к рискам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Статус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Контроль порогов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Утверждение или отказ</w:t>
            </w:r>
          </w:p>
        </w:tc>
      </w:tr>
    </w:tbl>
    <w:p>
      <w:pPr>
        <w:pStyle w:val="Heading2"/>
      </w:pPr>
      <w:r>
        <w:t>6.1 Переносимое досье доказательств</w:t>
      </w:r>
    </w:p>
    <w:p>
      <w:pPr>
        <w:pStyle w:val="ListBullet"/>
      </w:pPr>
      <w:r>
        <w:t>из кабинета формируется ZIP с паспортом объекта, периодом, показателями, ответами, реестром доказательств и исходными файлами;</w:t>
      </w:r>
    </w:p>
    <w:p>
      <w:pPr>
        <w:pStyle w:val="ListBullet"/>
      </w:pPr>
      <w:r>
        <w:t>manifest.csv содержит SHA-256 каждого файла и позволяет проверить неизменность пакета;</w:t>
      </w:r>
    </w:p>
    <w:p>
      <w:pPr>
        <w:pStyle w:val="ListBullet"/>
      </w:pPr>
      <w:r>
        <w:t>коды критериев и единицы измерения сохраняются при передаче внешнему органу;</w:t>
      </w:r>
    </w:p>
    <w:p>
      <w:pPr>
        <w:pStyle w:val="ListBullet"/>
      </w:pPr>
      <w:r>
        <w:t>досье уменьшает повторный сбор данных, но не обязывает внешний орган принять документ или результат ЭкоРейтинга;</w:t>
      </w:r>
    </w:p>
    <w:p>
      <w:pPr>
        <w:pStyle w:val="ListBullet"/>
      </w:pPr>
      <w:r>
        <w:t>внешний орган самостоятельно определяет программу оценки, выборку, дополнительные доказательства и стоимость.</w:t>
      </w:r>
    </w:p>
    <w:p>
      <w:r>
        <w:br w:type="page"/>
      </w:r>
    </w:p>
    <w:p>
      <w:pPr>
        <w:pStyle w:val="Heading1"/>
      </w:pPr>
      <w:r>
        <w:t>7 SLA и границы услуги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Целевой срок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Остановка срока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Автопроверка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 15 минут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Технический сбой или недоступность кабинета.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ЭкоСтарт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 5 рабочих дней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Ожидание обязательных исходных данных.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Первичная проверка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 10 рабочих дней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Ожидание ответа клиента.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Уточнения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 цикл, до 10 рабочих дней клиента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После срока пакет возвращается в черновик.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 3 рабочих дней после полного пакета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Существенное несоответствие или жалоба.</w:t>
            </w:r>
          </w:p>
        </w:tc>
      </w:tr>
    </w:tbl>
    <w:p>
      <w:pPr>
        <w:pStyle w:val="Heading1"/>
      </w:pPr>
      <w:r>
        <w:t>8 Роли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Ответственность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Ограничение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Представитель объекта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Достоверность данных и права на документы.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Не назначает себе уровень доказательства.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Оператор платформы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Работоспособность расчёта, реестр, версии, уведомления.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Не может менять балл вручную.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Эксперт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Проверка выборки, критических условий и заключение.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Не проверяет объект при конфликте интересов.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Лицо, принимающее 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Статус, срок, ограничения и апелляции.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 возможности не выполняет исходную проверку.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Независимый орган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Сертификация в собственной области компетентности.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Не подчиняется маркетинговому решению ЭкоРейтинга.</w:t>
            </w:r>
          </w:p>
        </w:tc>
      </w:tr>
    </w:tbl>
    <w:p>
      <w:pPr>
        <w:pStyle w:val="Heading1"/>
      </w:pPr>
      <w:r>
        <w:t>9 Проверка доказательств</w:t>
      </w:r>
    </w:p>
    <w:p>
      <w:pPr>
        <w:pStyle w:val="ListBullet"/>
      </w:pPr>
      <w:r>
        <w:t>всегда проверяются обязательные показатели, K01–K08 и элементы с аномалиями;</w:t>
      </w:r>
    </w:p>
    <w:p>
      <w:pPr>
        <w:pStyle w:val="ListBullet"/>
      </w:pPr>
      <w:r>
        <w:t>для остальных критериев применяется выборка по риску, весу и новизне файла;</w:t>
      </w:r>
    </w:p>
    <w:p>
      <w:pPr>
        <w:pStyle w:val="ListBullet"/>
      </w:pPr>
      <w:r>
        <w:t>документ должен относиться к объекту и отчётному периоду;</w:t>
      </w:r>
    </w:p>
    <w:p>
      <w:pPr>
        <w:pStyle w:val="ListBullet"/>
      </w:pPr>
      <w:r>
        <w:t>фотография подтверждает наличие, но обычно не подтверждает длительность и объём;</w:t>
      </w:r>
    </w:p>
    <w:p>
      <w:pPr>
        <w:pStyle w:val="ListBullet"/>
      </w:pPr>
      <w:r>
        <w:t>декларация без документа может поддерживать предварительный балл, но не подтверждённый статус;</w:t>
      </w:r>
    </w:p>
    <w:p>
      <w:pPr>
        <w:pStyle w:val="ListBullet"/>
      </w:pPr>
      <w:r>
        <w:t>сомнение трактуется как запрос уточнения, а не как автоматический отказ.</w:t>
      </w:r>
    </w:p>
    <w:p>
      <w:pPr>
        <w:pStyle w:val="Heading1"/>
      </w:pPr>
      <w:r>
        <w:t>10 Решения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Условие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Действие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Подтвердить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Порог доверия ≥70%, обязательные данные, период и K01–K08 выполнены.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Статус и срок до 12 месяцев.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Подтвердить с ограничением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Ограниченная область или исключённая услуга.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Ограничение публикуется рядом со статусом.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Вернуть на доработку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Исправимый пробел.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Один структурированный запрос.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Отказать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Существенная недостоверность или критический риск.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Причина и право апелляции.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Приостановить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Жалоба, просрочка, отказ от проверки или неверное использование знака.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Знак снимается до решения.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Аннулировать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Подтверждённая фальсификация или неустранённое нарушение.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Запись остаётся в аудите.</w:t>
            </w:r>
          </w:p>
        </w:tc>
      </w:tr>
    </w:tbl>
    <w:p>
      <w:r>
        <w:br w:type="page"/>
      </w:r>
    </w:p>
    <w:p>
      <w:pPr>
        <w:pStyle w:val="Heading1"/>
      </w:pPr>
      <w:r>
        <w:t>11 Право использования знака</w:t>
      </w:r>
    </w:p>
    <w:p>
      <w:pPr>
        <w:pStyle w:val="ListBullet"/>
      </w:pPr>
      <w:r>
        <w:t>лицензия действует только для указанного объекта, статуса и срока;</w:t>
      </w:r>
    </w:p>
    <w:p>
      <w:pPr>
        <w:pStyle w:val="ListBullet"/>
      </w:pPr>
      <w:r>
        <w:t>макеты выдаются из кабинета с уникальной ссылкой или QR;</w:t>
      </w:r>
    </w:p>
    <w:p>
      <w:pPr>
        <w:pStyle w:val="ListBullet"/>
      </w:pPr>
      <w:r>
        <w:t>знак участника и подтверждающий знак визуально различаются;</w:t>
      </w:r>
    </w:p>
    <w:p>
      <w:pPr>
        <w:pStyle w:val="ListBullet"/>
      </w:pPr>
      <w:r>
        <w:t>знак нельзя переносить на сеть, продукцию, ресторан или тур без отдельной области;</w:t>
      </w:r>
    </w:p>
    <w:p>
      <w:pPr>
        <w:pStyle w:val="ListBullet"/>
      </w:pPr>
      <w:r>
        <w:t>при истечении, приостановке или аннулировании использование прекращается;</w:t>
      </w:r>
    </w:p>
    <w:p>
      <w:pPr>
        <w:pStyle w:val="ListBullet"/>
      </w:pPr>
      <w:r>
        <w:t>проверка и лицензия оплачиваются раздельно и не влияют на ЭкоБалл.</w:t>
      </w:r>
    </w:p>
    <w:p>
      <w:pPr>
        <w:pStyle w:val="Heading1"/>
      </w:pPr>
      <w:r>
        <w:t>12 Повторная проверка</w:t>
      </w:r>
    </w:p>
    <w:p>
      <w:r>
        <w:t>За 60 и 30 дней система направляет уведомления. Клиент создаёт новый период и подтверждает изменения. Неизменившиеся низкорисковые документы могут приниматься повторно в пределах срока актуальности; показатели, критические условия, жалобы и изменения проверяются заново.</w:t>
      </w:r>
    </w:p>
    <w:p>
      <w:pPr>
        <w:pStyle w:val="Heading1"/>
      </w:pPr>
      <w:r>
        <w:t>13 Жалобы и апелляции</w:t>
      </w:r>
    </w:p>
    <w:p>
      <w:pPr>
        <w:pStyle w:val="ListNumber"/>
      </w:pPr>
      <w:r>
        <w:t>Обращение регистрируется с датой, заявителем, объектом и требованием.</w:t>
      </w:r>
    </w:p>
    <w:p>
      <w:pPr>
        <w:pStyle w:val="ListNumber"/>
      </w:pPr>
      <w:r>
        <w:t>Приём подтверждается в течение 2 рабочих дней.</w:t>
      </w:r>
    </w:p>
    <w:p>
      <w:pPr>
        <w:pStyle w:val="ListNumber"/>
      </w:pPr>
      <w:r>
        <w:t>Рассмотрение выполняет лицо, не принимавшее спорное решение, когда это возможно.</w:t>
      </w:r>
    </w:p>
    <w:p>
      <w:pPr>
        <w:pStyle w:val="ListNumber"/>
      </w:pPr>
      <w:r>
        <w:t>Запрашиваются только необходимые материалы; конфиденциальность сохраняется.</w:t>
      </w:r>
    </w:p>
    <w:p>
      <w:pPr>
        <w:pStyle w:val="ListNumber"/>
      </w:pPr>
      <w:r>
        <w:t>Мотивированный ответ предоставляется обычно до 15 рабочих дней.</w:t>
      </w:r>
    </w:p>
    <w:p>
      <w:pPr>
        <w:pStyle w:val="ListNumber"/>
      </w:pPr>
      <w:r>
        <w:t>Решение и корректирующие действия записываются в аудит.</w:t>
      </w:r>
    </w:p>
    <w:p>
      <w:r>
        <w:br w:type="page"/>
      </w:r>
    </w:p>
    <w:p>
      <w:pPr>
        <w:pStyle w:val="Heading1"/>
      </w:pPr>
      <w:r>
        <w:t>14 Беспристрастность</w:t>
      </w:r>
    </w:p>
    <w:p>
      <w:pPr>
        <w:pStyle w:val="ListBullet"/>
      </w:pPr>
      <w:r>
        <w:t>продажа участия, ЭкоСтарт, проверка и решение учитываются как разные функции;</w:t>
      </w:r>
    </w:p>
    <w:p>
      <w:pPr>
        <w:pStyle w:val="ListBullet"/>
      </w:pPr>
      <w:r>
        <w:t>бонус сотрудника не зависит от количества положительных решений;</w:t>
      </w:r>
    </w:p>
    <w:p>
      <w:pPr>
        <w:pStyle w:val="ListBullet"/>
      </w:pPr>
      <w:r>
        <w:t>конфликт интересов декларируется до назначения эксперта;</w:t>
      </w:r>
    </w:p>
    <w:p>
      <w:pPr>
        <w:pStyle w:val="ListBullet"/>
      </w:pPr>
      <w:r>
        <w:t>консультация не гарантирует подтверждение;</w:t>
      </w:r>
    </w:p>
    <w:p>
      <w:pPr>
        <w:pStyle w:val="ListBullet"/>
      </w:pPr>
      <w:r>
        <w:t>маркетинговые материалы не обещают заранее определённый балл.</w:t>
      </w:r>
    </w:p>
    <w:p>
      <w:pPr>
        <w:pStyle w:val="Heading1"/>
      </w:pPr>
      <w:r>
        <w:t>15 Данные и конфиденциальность</w:t>
      </w:r>
    </w:p>
    <w:p>
      <w:pPr>
        <w:pStyle w:val="ListBullet"/>
      </w:pPr>
      <w:r>
        <w:t>публично выводятся итог, направления, достижения, дата и статус;</w:t>
      </w:r>
    </w:p>
    <w:p>
      <w:pPr>
        <w:pStyle w:val="ListBullet"/>
      </w:pPr>
      <w:r>
        <w:t>первичные счета, персональные и коммерческие данные по умолчанию не публикуются;</w:t>
      </w:r>
    </w:p>
    <w:p>
      <w:pPr>
        <w:pStyle w:val="ListBullet"/>
      </w:pPr>
      <w:r>
        <w:t>доступ к файлам выдаётся по роли и журналируется;</w:t>
      </w:r>
    </w:p>
    <w:p>
      <w:pPr>
        <w:pStyle w:val="ListBullet"/>
      </w:pPr>
      <w:r>
        <w:t>срок хранения и удаление определяются договором и политикой обработки данных;</w:t>
      </w:r>
    </w:p>
    <w:p>
      <w:pPr>
        <w:pStyle w:val="ListBullet"/>
      </w:pPr>
      <w:r>
        <w:t>для обучения алгоритмов используются обезличенные признаки только при наличии основания.</w:t>
      </w:r>
    </w:p>
    <w:p>
      <w:pPr>
        <w:pStyle w:val="Heading1"/>
      </w:pPr>
      <w:r>
        <w:t>16 Независимая сертификация</w:t>
      </w:r>
    </w:p>
    <w:p>
      <w:r>
        <w:t>ЭкоРейтинг оказывает только дистанционные услуги и не проводит выездную сертификацию. Если рынку требуется аккредитованное подтверждение, оценку соответствия и решение выполняет выбранный отелем независимый орган по отдельному договору и в пределах своей компетентности. ЭкоРейтинг передаёт переносимое досье и не подменяет решение органа.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ЭкоРейтинг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Независимый орган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Анкета, расчёт, контроль полноты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План оценки соответствия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Структурированный реестр доказательств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Независимая выборка и аудит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ZIP-досье с контрольными суммами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Проверка актуальности и приемлемости материалов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Маркетинговая карточка и достижения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Решение о сертификате и инспекционный контроль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Право на знак ЭкоРейтинга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Право на собственный знак органа по его правилам</w:t>
            </w:r>
          </w:p>
        </w:tc>
      </w:tr>
    </w:tbl>
    <w:p>
      <w:r>
        <w:br w:type="page"/>
      </w:r>
    </w:p>
    <w:p>
      <w:pPr>
        <w:pStyle w:val="Heading1"/>
      </w:pPr>
      <w:r>
        <w:t>17 Формы и записи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Автоматизация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Срок/событие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Заявка и паспорт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Создаются из веб-формы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 начала оценки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Срез анкеты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Фиксируется при отправке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Каждый расчёт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Реестр доказательств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Коды и статусы файлов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Весь цикл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Переносимое досье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ZIP, CSV, JSON, исходные файлы и SHA-256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 запросу и перед передачей органу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Лист K01–K08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Предзаполнение + 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 подтверждения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Заключение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Черновик из расчёта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После проверки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Лицензия на знак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Срок и макеты из кабинета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После оплаты и решения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Запрос изменения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Форма и аудит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После фиксации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Жалоба/апелляция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Реестр сроков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 обращению</w:t>
            </w:r>
          </w:p>
        </w:tc>
      </w:tr>
    </w:tbl>
    <w:p>
      <w:pPr>
        <w:pStyle w:val="Heading1"/>
      </w:pPr>
      <w:r>
        <w:t>Приложение А. Тексты для сайта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Ситуация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Рекомендуемый текст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Участник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Отель участвует в ЭкоРейтинге. Балл рассчитан по данным объекта и пока не подтверждён.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ЭкоСтарт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Отель прошёл разбор готовности и получил план улучшений. Доказательства ещё не проверены полностью.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Подтверждён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Данные подтверждены ЭкоРейтингом до [дата]. Область: [объект/услуги].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Независимая сертификация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Указывается только фактический орган, номер, область и срок сертификата.</w:t>
            </w:r>
          </w:p>
        </w:tc>
      </w:tr>
    </w:tbl>
    <w:p>
      <w:pPr>
        <w:pStyle w:val="Heading1"/>
      </w:pPr>
      <w:r>
        <w:t>Приложение Б. Чек-лист запуска</w:t>
      </w:r>
    </w:p>
    <w:p>
      <w:pPr>
        <w:pStyle w:val="ListBullet"/>
      </w:pPr>
      <w:r>
        <w:t>утвердить СТО и методику приказом владельца;</w:t>
      </w:r>
    </w:p>
    <w:p>
      <w:pPr>
        <w:pStyle w:val="ListBullet"/>
      </w:pPr>
      <w:r>
        <w:t>провести юридическую проверку оферты, лицензии знака и персональных данных;</w:t>
      </w:r>
    </w:p>
    <w:p>
      <w:pPr>
        <w:pStyle w:val="ListBullet"/>
      </w:pPr>
      <w:r>
        <w:t>настроить оплату, чеки и автоматическое создание статусов;</w:t>
      </w:r>
    </w:p>
    <w:p>
      <w:pPr>
        <w:pStyle w:val="ListBullet"/>
      </w:pPr>
      <w:r>
        <w:t>утвердить квалификацию экспертов и конфликт интересов;</w:t>
      </w:r>
    </w:p>
    <w:p>
      <w:pPr>
        <w:pStyle w:val="ListBullet"/>
      </w:pPr>
      <w:r>
        <w:t>провести пилот минимум на 10 разных типах и размерах объектов;</w:t>
      </w:r>
    </w:p>
    <w:p>
      <w:pPr>
        <w:pStyle w:val="ListBullet"/>
      </w:pPr>
      <w:r>
        <w:t>проверить калькулятор, отчёты, аудит и сроки уведомлений;</w:t>
      </w:r>
    </w:p>
    <w:p>
      <w:pPr>
        <w:pStyle w:val="ListBullet"/>
      </w:pPr>
      <w:r>
        <w:t>подготовить типовой порядок передачи досье выбранному клиентом независимому органу до рекламы аккредитованной сертификации.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893" w:bottom="893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3655D"/>
        <w:sz w:val="15"/>
      </w:rPr>
      <w:t xml:space="preserve">ИП Лобов А.А. · ИНН 910800051911 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3655D"/>
        <w:sz w:val="15"/>
      </w:rPr>
      <w:t>ЭКОРЕЙТИНГ · Правила системы ЭкоРейтинг · 1.2 (проект)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02D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Bebas Neue" w:hAnsi="Bebas Neue" w:cs="Bebas Neue" w:eastAsia="Bebas Neue"/>
      <w:b w:val="0"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Bebas Neue" w:hAnsi="Bebas Neue" w:cs="Bebas Neue" w:eastAsia="Bebas Neue"/>
      <w:b w:val="0"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Bebas Neue" w:hAnsi="Bebas Neue" w:cs="Bebas Neue" w:eastAsia="Bebas Neue"/>
      <w:b/>
      <w:bCs/>
      <w:color w:val="000000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80" w:line="240" w:lineRule="auto" w:before="0"/>
      <w:contextualSpacing/>
    </w:pPr>
    <w:rPr>
      <w:rFonts w:asciiTheme="majorHAnsi" w:eastAsiaTheme="majorEastAsia" w:hAnsiTheme="majorHAnsi" w:cstheme="majorBidi" w:ascii="Bebas Neue" w:hAnsi="Bebas Neue" w:cs="Bebas Neue" w:eastAsia="Bebas Neue"/>
      <w:b w:val="0"/>
      <w:color w:val="000000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системы ЭкоРейтинг</dc:title>
  <dc:subject>Система ЭкоРейтинг для средств размещения</dc:subject>
  <dc:creator>ИП Лобов А.А.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