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/>
        <w:jc w:val="center"/>
      </w:pPr>
      <w:r>
        <w:rPr>
          <w:rFonts w:ascii="Bebas Neue" w:hAnsi="Bebas Neue" w:cs="Bebas Neue" w:eastAsia="Bebas Neue"/>
          <w:color w:val="102D27"/>
          <w:sz w:val="56"/>
        </w:rPr>
        <w:t>ЭКОРЕЙТИНГ</w:t>
      </w:r>
    </w:p>
    <w:p>
      <w:pPr>
        <w:jc w:val="center"/>
      </w:pPr>
      <w:r>
        <w:rPr>
          <w:rFonts w:ascii="Arial" w:hAnsi="Arial" w:cs="Arial" w:eastAsia="Arial"/>
          <w:b/>
          <w:color w:val="53655D"/>
          <w:sz w:val="22"/>
        </w:rPr>
        <w:t>КОМПЛЕКТ УЧАСТНИКА</w:t>
      </w:r>
    </w:p>
    <w:p>
      <w:pPr>
        <w:pStyle w:val="Title"/>
        <w:jc w:val="center"/>
      </w:pPr>
      <w:r>
        <w:t>Шаблоны записей и переносимое досье</w:t>
      </w:r>
    </w:p>
    <w:p>
      <w:pPr>
        <w:spacing w:after="600"/>
        <w:jc w:val="center"/>
      </w:pPr>
      <w:r>
        <w:rPr>
          <w:rFonts w:ascii="Arial" w:hAnsi="Arial"/>
          <w:color w:val="53655D"/>
          <w:sz w:val="30"/>
        </w:rPr>
        <w:t>Для дистанционного ЭкоРейтинга и последующей передачи материалов внешнему органу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Проект. Не является свидетельством аккредитованной сертификации.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ИП Лобов А.А.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910800051911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Версия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1.2 (проект)</w:t>
            </w:r>
          </w:p>
        </w:tc>
      </w:tr>
    </w:tbl>
    <w:p/>
    <w:p>
      <w:pPr>
        <w:jc w:val="center"/>
      </w:pPr>
      <w:r>
        <w:rPr>
          <w:color w:val="53655D"/>
          <w:sz w:val="18"/>
        </w:rPr>
        <w:t>Москва · 2026</w:t>
      </w:r>
    </w:p>
    <w:p>
      <w:r>
        <w:br w:type="page"/>
      </w:r>
    </w:p>
    <w:p>
      <w:pPr>
        <w:pStyle w:val="Heading1"/>
      </w:pPr>
      <w:r>
        <w:t>Статус документа и самостоятельность разработки</w:t>
      </w:r>
    </w:p>
    <w:p>
      <w:r>
        <w:t>Владелец комплекта — ИП Лобов А.А., ИНН 910800051911. Связанные документы: СТО ЭКОРЕЙТИНГ 01-2026, версия 1.2 (проект).</w:t>
      </w:r>
    </w:p>
    <w:p>
      <w:r>
        <w:t>Шаблоны можно адаптировать под объект. Они помогают один раз организовать данные и доказательства, но не гарантируют выдачу сертификата внешним органом.</w:t>
      </w:r>
    </w:p>
    <w:p>
      <w:r>
        <w:t>ЭкоРейтинг работает дистанционно. Осмотр на месте и независимая сертификация выполняются только отдельным внешним органом по его правилам.</w:t>
      </w:r>
    </w:p>
    <w:p>
      <w:pPr>
        <w:pStyle w:val="Heading1"/>
      </w:pPr>
      <w:r>
        <w:t>Как работать с комплектом</w:t>
      </w:r>
    </w:p>
    <w:p>
      <w:pPr>
        <w:pStyle w:val="ListNumber"/>
      </w:pPr>
      <w:r>
        <w:t>Назначьте одного владельца досье и резервного сотрудника.</w:t>
      </w:r>
    </w:p>
    <w:p>
      <w:pPr>
        <w:pStyle w:val="ListNumber"/>
      </w:pPr>
      <w:r>
        <w:t>Создайте папки по кодам направлений E, W, R, P, F, M, T, G, H и L.</w:t>
      </w:r>
    </w:p>
    <w:p>
      <w:pPr>
        <w:pStyle w:val="ListNumber"/>
      </w:pPr>
      <w:r>
        <w:t>Заполняйте реестр доказательств одновременно с загрузкой файлов, а не в конце года.</w:t>
      </w:r>
    </w:p>
    <w:p>
      <w:pPr>
        <w:pStyle w:val="ListNumber"/>
      </w:pPr>
      <w:r>
        <w:t>Для каждого файла фиксируйте объект, период, источник, срок действия и связанные коды.</w:t>
      </w:r>
    </w:p>
    <w:p>
      <w:pPr>
        <w:pStyle w:val="ListNumber"/>
      </w:pPr>
      <w:r>
        <w:t>Не создавайте отдельный документ, если уже существует пригодная рабочая запись: счёт, акт, журнал, приказ или выгрузка системы.</w:t>
      </w:r>
    </w:p>
    <w:p>
      <w:pPr>
        <w:pStyle w:val="ListNumber"/>
      </w:pPr>
      <w:r>
        <w:t>Перед фиксацией среза проверьте K01–K08 и обязательные показатели.</w:t>
      </w:r>
    </w:p>
    <w:p>
      <w:pPr>
        <w:pStyle w:val="ListNumber"/>
      </w:pPr>
      <w:r>
        <w:t>Скачайте ZIP-досье из кабинета и передавайте внешнему органу исходные файлы вместе с manifest.csv.</w:t>
      </w:r>
    </w:p>
    <w:p>
      <w:pPr>
        <w:pStyle w:val="Heading1"/>
      </w:pPr>
      <w:r>
        <w:t>Единый принцип именования файлов</w:t>
      </w:r>
    </w:p>
    <w:p>
      <w:r>
        <w:t>Рекомендуемый формат: КОД_ГГГГ-ММ-ДД_КРАТКОЕ-НАЗВАНИЕ_ОБЪЕКТ.ext. Пример: W01_2026-09-30_журнал-воды_отель-берег.xlsx.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Часть имени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Назначение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Пример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Критерий, показатель или направление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W01, Q-W1, WATER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Дата документа или конец периода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2026-09-30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Название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Понятный тип доказательства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счёт-вода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Объект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Короткое уникальное название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отель-берег</w:t>
            </w:r>
          </w:p>
        </w:tc>
      </w:tr>
    </w:tbl>
    <w:p>
      <w:pPr>
        <w:pStyle w:val="Heading1"/>
      </w:pPr>
      <w:r>
        <w:t>Что обычно можно использовать повторно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Материал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Повторное использование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Когда обновлять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Паспорт и границы объекта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ЭкоРейтинг и внешний орган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 изменении адреса, состава услуг или зданий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Счета, показания, госте-ночи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Расчёт, подтверждение, внешняя оценка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Каждый отчётный период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Политики, приказы, процедуры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Несколько критериев и систем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 изменении процесса или ответственного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Реестр поставщиков и химии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Закупки, безопасность, экология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 смене продукта или поставщика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Журналы обучения и инцидентов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Управление и гостеприимство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 каждому событию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Фото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Подтверждение наличия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 изменении оборудования или зоны</w:t>
            </w:r>
          </w:p>
        </w:tc>
      </w:tr>
    </w:tbl>
    <w:p>
      <w:r>
        <w:br w:type="page"/>
      </w:r>
    </w:p>
    <w:p>
      <w:pPr>
        <w:pStyle w:val="Heading1"/>
      </w:pPr>
      <w:r>
        <w:t>Форма 1. Паспорт и границы объекта</w:t>
      </w:r>
    </w:p>
    <w:p>
      <w:r>
        <w:t>Фиксирует точный объект, к которому относятся расчёт и доказательства.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Юридическое лицо / ИП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ИНН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Название объекта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Адрес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Корпуса и площадки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Количество номеров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Количество мест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Питание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Территория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Бассейн / SPA / прачечная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Сезонность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Исключения из области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2. Приказ о назначении ответственного</w:t>
      </w:r>
    </w:p>
    <w:p>
      <w:r>
        <w:t>Основа для внутреннего управления экологическими показателями.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Номер и дата приказа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ФИО и должность ответственного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Замещающий сотрудник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Полномочия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Периодичность отчётности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Кому докладывает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3. Экологическая политика</w:t>
      </w:r>
    </w:p>
    <w:p>
      <w:r>
        <w:t>Короткий утверждённый документ с обязательствами по соблюдению требований, снижению воздействия и честной коммуникации.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Область действия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Обязательные требования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Энергия и климат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Вода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Отходы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Закупки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Гости и сотрудники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Постоянное улучшение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Утверждение руководителем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pStyle w:val="ListBullet"/>
      </w:pPr>
      <w:r>
        <w:t>Не обещайте абсолютную экологичность или нулевое воздействие без доказательств.</w:t>
      </w:r>
    </w:p>
    <w:p>
      <w:pPr>
        <w:pStyle w:val="ListBullet"/>
      </w:pPr>
      <w:r>
        <w:t>Свяжите политику с измеримыми целями и ответственными.</w:t>
      </w:r>
    </w:p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4. Реестр применимых требований</w:t>
      </w:r>
    </w:p>
    <w:p>
      <w:r>
        <w:t>Помогает показать, что объект знает обязательные требования и отслеживает изменения.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rPr>
          <w:tblHeader w:val="true"/>
        </w:trP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Требование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Применимость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Подтверждение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 проверки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Следующая проверка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5. Цели и план мероприятий</w:t>
      </w:r>
    </w:p>
    <w:p>
      <w:r>
        <w:t>Годовой план связывает цель, исходный уровень, действие, срок, бюджет и результат.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Цель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Исходно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План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Бюджет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6. Помесячный учёт ресурсов</w:t>
      </w:r>
    </w:p>
    <w:p>
      <w:r>
        <w:t>Рабочая форма для энергии, воды, госте-ночей и отходов. Итоги переносятся в кабинет и реестр XLSX.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Госте-ночи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Энергия, кВт·ч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Вода, м³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Отходы, кг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Пищевые, кг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Проверил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7. Аномалии и корректирующие действия</w:t>
      </w:r>
    </w:p>
    <w:p>
      <w:r>
        <w:t>Заполняется при резком росте расхода, расхождении документов или нарушении процедуры.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 / код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Отклонение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Причина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8. Реестр отходов</w:t>
      </w:r>
    </w:p>
    <w:p>
      <w:r>
        <w:t>Подтверждает образование, раздельный сбор и передачу каждого существенного потока.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Поток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Масса, кг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Получатель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Договор / акт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 файла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Примечание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9. Политика закупок</w:t>
      </w:r>
    </w:p>
    <w:p>
      <w:r>
        <w:t>Устанавливает измеримые правила выбора химии, упаковки, бумаги, оборудования и местных поставщиков.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Категории закупок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Обязательные документы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Экологические критерии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Критерии локальности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Правила исключений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Ответственный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Периодичность оценки поставщиков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10. Реестр поставщиков</w:t>
      </w:r>
    </w:p>
    <w:p>
      <w:r>
        <w:t>Фиксирует применённые критерии и подтверждения, а не только рекламные заявления.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Поставщик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Регион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Документ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Доля закупок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11. Реестр бытовой химии</w:t>
      </w:r>
    </w:p>
    <w:p>
      <w:r>
        <w:t>Связывает продукт, область применения, дозирование и паспорт безопасности.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Продукт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Назначение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Поставщик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Паспорт безопасности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Экомаркировка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Дозирование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Файл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12. Журнал пищевых отходов</w:t>
      </w:r>
    </w:p>
    <w:p>
      <w:r>
        <w:t>Используется объектами с питанием для анализа причин списания и предотвращения потерь.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Зона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Причина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Масса, кг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Мера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Файл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13. Территория и биоразнообразие</w:t>
      </w:r>
    </w:p>
    <w:p>
      <w:r>
        <w:t>Карта зон и решений по растениям, свету, стокам, шуму и применению химии.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Зона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Воздействие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Мера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Вид / оборудование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Фото / план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14. Обучение сотрудников</w:t>
      </w:r>
    </w:p>
    <w:p>
      <w:r>
        <w:t>Подтверждает тему, участников, проверку понимания и повторное обучение.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rPr>
          <w:tblHeader w:val="true"/>
        </w:trP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Тема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Формат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Сотрудник / группа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Инструктор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Подпись / файл</w:t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15. Материалы для гостей</w:t>
      </w:r>
    </w:p>
    <w:p>
      <w:r>
        <w:t>Проверяет добровольность, ясность и доказуемость экологических сообщений.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Материал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Канал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Тезис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Доказательство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Добровольно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Согласовал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Версия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pStyle w:val="ListBullet"/>
      </w:pPr>
      <w:r>
        <w:t>Просьба к гостю не должна перекладывать на него ответственность за базовую безопасность и качество услуги.</w:t>
      </w:r>
    </w:p>
    <w:p>
      <w:pPr>
        <w:pStyle w:val="ListBullet"/>
      </w:pPr>
      <w:r>
        <w:t>Не используйте подтверждающий знак после окончания права.</w:t>
      </w:r>
    </w:p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16. Доступность и безопасность</w:t>
      </w:r>
    </w:p>
    <w:p>
      <w:r>
        <w:t>Планирует измеримые улучшения доступности, информирования и безопасного обслуживания гостей.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Зона / процесс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Барьер / риск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Мера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Приоритет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17. Местная занятость и сообщество</w:t>
      </w:r>
    </w:p>
    <w:p>
      <w:r>
        <w:t>Собирает данные о местной занятости, закупках, культуре и общественных проектах.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rPr>
          <w:tblHeader w:val="true"/>
        </w:trP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 / проект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Количество / ₽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Партнёр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Документ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18. Инциденты, обращения и жалобы</w:t>
      </w:r>
    </w:p>
    <w:p>
      <w:r>
        <w:t>Единый журнал для экологических инцидентов, безопасности, доступности и публичных заявлений.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Тип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Описание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Немедленная мера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Причина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Коррекция</w:t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Закрыто</w:t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28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19. Анализ руководством</w:t>
      </w:r>
    </w:p>
    <w:p>
      <w:r>
        <w:t>Протокол минимум ежегодного анализа результатов и решений руководства.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Дата и участники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Результаты целей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Динамика ресурсов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Инциденты и жалобы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Поставщики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Изменения требований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Риски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Решения и ресурсы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Новые цели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20. Самопроверка критических условий K01–K08</w:t>
      </w:r>
    </w:p>
    <w:p>
      <w:r>
        <w:t>Все условия должны быть подтверждены до статуса «Данные подтверждены».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8"/>
        <w:gridCol w:w="1718"/>
        <w:gridCol w:w="1718"/>
        <w:gridCol w:w="1718"/>
        <w:gridCol w:w="1718"/>
        <w:gridCol w:w="1718"/>
      </w:tblGrid>
      <w:tr>
        <w:trPr>
          <w:tblHeader w:val="true"/>
        </w:trP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Условие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Доказательство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Дата проверки</w:t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K01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Законность деятельности и достоверность идентификационных данных объекта.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K02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Безопасное и законное обращение со сточными водами.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K03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Контроль опасных отходов и химических веществ.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K04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Соблюдение обязательных требований к воде, здоровью и безопасности гостей.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K05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Отсутствие заведомо ложных экологических заявлений.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K06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Проверяемый отчётный период и исходные данные обязательных показателей.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K07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Отсутствие неустранённого существенного экологического инцидента.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K08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Согласие на публикацию статуса, срока действия и краткого состава проверенных данных.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21. Опись передаваемого пакета</w:t>
      </w:r>
    </w:p>
    <w:p>
      <w:r>
        <w:t>Обложка для дистанционного подтверждения или передачи внешнему органу.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Получатель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Цель передачи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Объект и адрес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Отчётный период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Версия досье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Дата выгрузки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Количество файлов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Контрольная сумма manifest.csv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Ограничения и конфиденциальность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22. Запрос на изменение зафиксированного среза</w:t>
      </w:r>
    </w:p>
    <w:p>
      <w:r>
        <w:t>Исправление создаёт новую версию и не стирает опубликованную историю.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Объект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Дата текущего среза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Поле / показатель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Было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Должно быть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Причина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Подтверждающий файл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Заявитель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Решение администратора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Форма 23. Передача внешнему органу</w:t>
      </w:r>
    </w:p>
    <w:p>
      <w:r>
        <w:t>Помогает избежать повторного сбора, сохраняя независимость будущей сертификации.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3"/>
        <w:gridCol w:w="1473"/>
        <w:gridCol w:w="1473"/>
        <w:gridCol w:w="1473"/>
        <w:gridCol w:w="1473"/>
        <w:gridCol w:w="1473"/>
        <w:gridCol w:w="1473"/>
      </w:tblGrid>
      <w:tr>
        <w:trPr>
          <w:tblHeader w:val="true"/>
        </w:trP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Передано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Принято органом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Нужно дополнить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473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pPr>
        <w:pStyle w:val="ListBullet"/>
      </w:pPr>
      <w:r>
        <w:t>Передавайте исходные документы вместе с реестром и manifest.csv.</w:t>
      </w:r>
    </w:p>
    <w:p>
      <w:pPr>
        <w:pStyle w:val="ListBullet"/>
      </w:pPr>
      <w:r>
        <w:t>Не называйте материалы принятыми, пока внешний орган не подтвердил это письменно.</w:t>
      </w:r>
    </w:p>
    <w:p>
      <w:pPr>
        <w:pStyle w:val="ListBullet"/>
      </w:pPr>
      <w:r>
        <w:t>Стоимость и объём внешней оценки согласуются напрямую с органом.</w:t>
      </w:r>
    </w:p>
    <w:p>
      <w:pPr>
        <w:spacing w:before="120"/>
      </w:pPr>
      <w:r>
        <w:t>Ответственный: ____________________   Дата: __________   Подпись: __________</w:t>
      </w:r>
    </w:p>
    <w:p>
      <w:r>
        <w:br w:type="page"/>
      </w:r>
    </w:p>
    <w:p>
      <w:pPr>
        <w:pStyle w:val="Heading1"/>
      </w:pPr>
      <w:r>
        <w:t>Приложение. Количественные показатели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Максимум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энергии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возобновляемой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воды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повторно используемой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отходов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полезного использования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учёта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экологичной бытовой химии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закупок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крупной или возвратной упаковки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пищевых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продуктов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растительных позиций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Q-M1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годового экологического плана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Q-T1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местных видов в озеленении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Q-G1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обученных сотрудников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Q-H1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плана доступности и безопасности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Q-L1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сотрудников из местного сообщества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</w:tbl>
    <w:p>
      <w:r>
        <w:t>Подробные единицы, формулы и правила расчёта приведены в методике ЭкоРейтинга 1.2. Рабочие значения удобнее вести в файле EcoRating_evidence_register_v1.2.xlsx.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93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3655D"/>
        <w:sz w:val="15"/>
      </w:rPr>
      <w:t xml:space="preserve">ИП Лобов А.А. · ИНН 910800051911 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3655D"/>
        <w:sz w:val="15"/>
      </w:rPr>
      <w:t>ЭКОРЕЙТИНГ · Комплект шаблонов участника ЭкоРейтинга · 1.2 (проект)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D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Bebas Neue" w:hAnsi="Bebas Neue" w:cs="Bebas Neue" w:eastAsia="Bebas Neue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Bebas Neue" w:hAnsi="Bebas Neue" w:cs="Bebas Neue" w:eastAsia="Bebas Neue"/>
      <w:b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шаблонов участника ЭкоРейтинга</dc:title>
  <dc:subject>Система ЭкоРейтинг для средств размещения</dc:subject>
  <dc:creator>ИП Лобов А.А.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