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/>
        <w:jc w:val="center"/>
      </w:pPr>
      <w:r>
        <w:rPr>
          <w:rFonts w:ascii="Bebas Neue" w:hAnsi="Bebas Neue" w:cs="Bebas Neue" w:eastAsia="Bebas Neue"/>
          <w:color w:val="102D27"/>
          <w:sz w:val="56"/>
        </w:rPr>
        <w:t>ЭКОРЕЙТИНГ</w:t>
      </w:r>
    </w:p>
    <w:p>
      <w:pPr>
        <w:jc w:val="center"/>
      </w:pPr>
      <w:r>
        <w:rPr>
          <w:rFonts w:ascii="Arial" w:hAnsi="Arial" w:cs="Arial" w:eastAsia="Arial"/>
          <w:b/>
          <w:color w:val="53655D"/>
          <w:sz w:val="22"/>
        </w:rPr>
        <w:t>МЕТОДИКА ЭКОРЕЙТИНГА 01-2026</w:t>
      </w:r>
    </w:p>
    <w:p>
      <w:pPr>
        <w:pStyle w:val="Title"/>
        <w:jc w:val="center"/>
      </w:pPr>
      <w:r>
        <w:t>Методика расчёта 0–100</w:t>
      </w:r>
    </w:p>
    <w:p>
      <w:pPr>
        <w:spacing w:after="600"/>
        <w:jc w:val="center"/>
      </w:pPr>
      <w:r>
        <w:rPr>
          <w:rFonts w:ascii="Arial" w:hAnsi="Arial"/>
          <w:color w:val="53655D"/>
          <w:sz w:val="30"/>
        </w:rPr>
        <w:t>Показатели, доказательства, достижения и рекомендации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Проект. Не является свидетельством аккредитованной сертификации.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ИП Лобов А.А.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910800051911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Версия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1.2 (проект)</w:t>
            </w:r>
          </w:p>
        </w:tc>
      </w:tr>
    </w:tbl>
    <w:p/>
    <w:p>
      <w:pPr>
        <w:jc w:val="center"/>
      </w:pPr>
      <w:r>
        <w:rPr>
          <w:color w:val="53655D"/>
          <w:sz w:val="18"/>
        </w:rPr>
        <w:t>Москва · 2026</w:t>
      </w:r>
    </w:p>
    <w:p>
      <w:r>
        <w:br w:type="page"/>
      </w:r>
    </w:p>
    <w:p>
      <w:pPr>
        <w:pStyle w:val="Heading1"/>
      </w:pPr>
      <w:r>
        <w:t>Статус документа и самостоятельность разработки</w:t>
      </w:r>
    </w:p>
    <w:p>
      <w:r>
        <w:t>Методика является вычислительной частью собственной системы ЭкоРейтинг и соответствует проекту СТО ЭКОРЕЙТИНГ 01-2026.</w:t>
      </w:r>
    </w:p>
    <w:p>
      <w:r>
        <w:t>Баллы не продаются: тариф определяет публикацию, глубину проверки и право использования знака, но не меняет формулу.</w:t>
      </w:r>
    </w:p>
    <w:p>
      <w:pPr>
        <w:pStyle w:val="Heading1"/>
      </w:pPr>
      <w:r>
        <w:t>1 Модель результата</w:t>
      </w:r>
    </w:p>
    <w:p>
      <w:r>
        <w:t>Результат состоит из двух независимых чисел: ЭкоБалл 0–100 показывает уровень практик и результативности, а процент подтверждения показывает качество доказательств. Публичный статус добавляется отдельно.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Что отвечает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ЭкоБалл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Насколько системно объект управляет воздействием и каких результатов достиг.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Подтверждение, 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Какая доля начисления опирается на документы и проверку.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Статус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Была ли проведена процедура проверки и действует ли решение.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Достижения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 каких направлениях объект достиг измеримого уровня 1–3.</w:t>
            </w:r>
          </w:p>
        </w:tc>
      </w:tr>
    </w:tbl>
    <w:p>
      <w:pPr>
        <w:pStyle w:val="Heading1"/>
      </w:pPr>
      <w:r>
        <w:t>2 Вес направлений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Вес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E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Энергия и климат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W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Вода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R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Отходы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P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Закупки и химия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F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Питание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M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Экологическое управление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T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Территория и природа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G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Гости и сотрудники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H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Ответственное гостеприимство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L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Сообщество и наследие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</w:tbl>
    <w:p>
      <w:pPr>
        <w:pStyle w:val="Heading1"/>
      </w:pPr>
      <w:r>
        <w:t>3 Формула</w:t>
      </w:r>
    </w:p>
    <w:p>
      <w:r>
        <w:t>Для каждого применимого направления сначала рассчитываются сырые баллы показателей и практик. Каждый элемент умножается на коэффициент доказательности. Сумма ограничивается весом направления.</w:t>
      </w:r>
    </w:p>
    <w:p>
      <w:pPr>
        <w:pStyle w:val="ListBullet"/>
      </w:pPr>
      <w:r>
        <w:t>Баллы раздела = min(вес раздела; количественная часть + практики).</w:t>
      </w:r>
    </w:p>
    <w:p>
      <w:pPr>
        <w:pStyle w:val="ListBullet"/>
      </w:pPr>
      <w:r>
        <w:t>Итог = 100 × сумма баллов применимых разделов / сумма их весов.</w:t>
      </w:r>
    </w:p>
    <w:p>
      <w:pPr>
        <w:pStyle w:val="ListBullet"/>
      </w:pPr>
      <w:r>
        <w:t>Практика «да» получает коэффициент ответа 1,0; «частично» — 0,5; «нет» — 0.</w:t>
      </w:r>
    </w:p>
    <w:p>
      <w:pPr>
        <w:pStyle w:val="ListBullet"/>
      </w:pPr>
      <w:r>
        <w:t>Начисление элемента = сырое начисление × коэффициент доказательности.</w:t>
      </w:r>
    </w:p>
    <w:p>
      <w:pPr>
        <w:pStyle w:val="Heading1"/>
      </w:pPr>
      <w:r>
        <w:t>4 Динамика ресурсов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Изменение к прошлому периоду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Доля максимума показателя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снижение 20% и более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снижение 10–19,9%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75–100%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снижение 5–9,9%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50–75%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снижение 0–4,9%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25–50%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рост до 10%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0–25%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рост 10% и более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0%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нет прошлого периода, есть текущий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25% как базовый уровень учёта</w:t>
            </w:r>
          </w:p>
        </w:tc>
      </w:tr>
    </w:tbl>
    <w:p>
      <w:r>
        <w:t>Линейная интерполяция между границами уменьшает скачки. Значение сначала нормируется на госте-ночь, поэтому рост загрузки сам по себе не ухудшает оценку.</w:t>
      </w:r>
    </w:p>
    <w:p>
      <w:r>
        <w:br w:type="page"/>
      </w:r>
    </w:p>
    <w:p>
      <w:pPr>
        <w:pStyle w:val="Heading1"/>
      </w:pPr>
      <w:r>
        <w:t>5 Количественные показатели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Макс.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энергии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возобновляемой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воды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повторно используемой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отходов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полезного использования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учёта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экологичной бытовой химии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Макс.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закупок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крупной или возвратной упаковки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пищевых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продуктов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растительных позиций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Q-M1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годового экологического плана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Q-T1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местных видов в озеленении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Q-G1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обученных сотрудников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Q-H1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плана доступности и безопасности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Q-L1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сотрудников из местного сообщества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</w:tbl>
    <w:p>
      <w:pPr>
        <w:pStyle w:val="Heading1"/>
      </w:pPr>
      <w:r>
        <w:t>6 Практики</w:t>
      </w:r>
    </w:p>
    <w:p>
      <w:r>
        <w:t>80 практик распределены по 10 направлениям. Внутри одного направления доля, отведённая практикам, делится поровну. Такая модель позволяет добавлять уточнения без продажи отдельных баллов.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Число практик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Практическая часть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Энергия и климат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Вода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Отходы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Закупки и химия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Питание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Экологическое управление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9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Территория и природа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9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Гости и сотрудники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9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Ответственное гостеприимство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Сообщество и наследие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</w:tbl>
    <w:p>
      <w:pPr>
        <w:pStyle w:val="Heading1"/>
      </w:pPr>
      <w:r>
        <w:t>7 Доказательность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Коэффициент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N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0,00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Заявление без доказательства не начисляет балл.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D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0,60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Самодекларация допустима для пробного и публичного предварительного результата.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B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0,95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Первичный документ принят и связан с периодом.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C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1,00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Оператор проверил доказательство и согласованность.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A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1,00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Имеется действующее независимое подтверждение применимой области.</w:t>
            </w:r>
          </w:p>
        </w:tc>
      </w:tr>
    </w:tbl>
    <w:p>
      <w:r>
        <w:br w:type="page"/>
      </w:r>
    </w:p>
    <w:p>
      <w:pPr>
        <w:pStyle w:val="Heading1"/>
      </w:pPr>
      <w:r>
        <w:t>8 Процент подтверждения</w:t>
      </w:r>
    </w:p>
    <w:p>
      <w:r>
        <w:t>Процент подтверждения вычисляется по весу тех элементов, по которым есть начисление. Он не равен проценту загруженных файлов. Критерий с большим вкладом влияет на доверие сильнее, чем малозначимая практика.</w:t>
      </w:r>
    </w:p>
    <w:p>
      <w:pPr>
        <w:pStyle w:val="Heading1"/>
      </w:pPr>
      <w:r>
        <w:t>9 Уровни ЭкоБалла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Диапазон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Интерпретация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Публичная подсказка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0–34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Старт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Базовый учёт и приоритетные риски.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35–49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Развитие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Есть работающие практики, но система неполна.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50–69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Уверенный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Большинство ключевых процессов управляется.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70–84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Высокий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Системная работа и заметная результативность.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85–100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Лидер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Высокая зрелость и подтверждённая динамика.</w:t>
            </w:r>
          </w:p>
        </w:tc>
      </w:tr>
    </w:tbl>
    <w:p>
      <w:pPr>
        <w:pStyle w:val="Heading1"/>
      </w:pPr>
      <w:r>
        <w:t>10 Достижения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Награда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Уровень 1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Уровень 2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Уровень 3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Бережная энергия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−5%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−10%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−20%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Вода под контролем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−5%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−10%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−20%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Меньше отходов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−5% или 30% переработки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−10% или 50%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−20% или 70%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Поддержка местного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Гости участвуют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35% направления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60%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80%</w:t>
            </w:r>
          </w:p>
        </w:tc>
      </w:tr>
    </w:tbl>
    <w:p>
      <w:r>
        <w:t>Неполученная награда отображается серой как цель. Тариф не влияет на достижение; платная проверка меняет только публичный статус и доверие к данным.</w:t>
      </w:r>
    </w:p>
    <w:p>
      <w:r>
        <w:br w:type="page"/>
      </w:r>
    </w:p>
    <w:p>
      <w:pPr>
        <w:pStyle w:val="Heading1"/>
      </w:pPr>
      <w:r>
        <w:t>11 Критические условия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Условие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K01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Законность деятельности и достоверность идентификационных данных объекта.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K02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Безопасное и законное обращение со сточными водами.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K03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Контроль опасных отходов и химических веществ.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K04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Соблюдение обязательных требований к воде, здоровью и безопасности гостей.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K05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Отсутствие заведомо ложных экологических заявлений.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K06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Проверяемый отчётный период и исходные данные обязательных показателей.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K07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Отсутствие неустранённого существенного экологического инцидента.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K08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Согласие на публикацию статуса, срока действия и краткого состава проверенных данных.</w:t>
            </w:r>
          </w:p>
        </w:tc>
      </w:tr>
    </w:tbl>
    <w:p>
      <w:r>
        <w:t>Критические условия не вычитают баллы повторно. Они образуют отдельный шлюз решения, чтобы высокий результат по ресурсам не скрывал существенный риск законности, безопасности или честности заявления.</w:t>
      </w:r>
    </w:p>
    <w:p>
      <w:pPr>
        <w:pStyle w:val="Heading1"/>
      </w:pPr>
      <w:r>
        <w:t>12 Проверки автоматизации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Автоматически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Передаётся эксперту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формат и обязательность полей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противоречивые объяснения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границы 0–100%, неотрицательные значения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подозрительно резкая динамика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логика дат и сопоставимость периодов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файл не доказывает заявленный факт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переработка ≤ все отходы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конфликт интересов и жалобы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пищевые отходы ≤ все отходы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критические условия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дубли файлов и срок действия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выборка первичных документов</w:t>
            </w:r>
          </w:p>
        </w:tc>
      </w:tr>
    </w:tbl>
    <w:p>
      <w:pPr>
        <w:pStyle w:val="Heading1"/>
      </w:pPr>
      <w:r>
        <w:t>13 Защита от подгонки</w:t>
      </w:r>
    </w:p>
    <w:p>
      <w:pPr>
        <w:pStyle w:val="ListNumber"/>
      </w:pPr>
      <w:r>
        <w:t>Черновик редактируется свободно и не публикуется.</w:t>
      </w:r>
    </w:p>
    <w:p>
      <w:pPr>
        <w:pStyle w:val="ListNumber"/>
      </w:pPr>
      <w:r>
        <w:t>Официальная отправка создаёт хэшируемый срез с датой и версией методики.</w:t>
      </w:r>
    </w:p>
    <w:p>
      <w:pPr>
        <w:pStyle w:val="ListNumber"/>
      </w:pPr>
      <w:r>
        <w:t>После расчёта поля блокируются для представителя объекта.</w:t>
      </w:r>
    </w:p>
    <w:p>
      <w:pPr>
        <w:pStyle w:val="ListNumber"/>
      </w:pPr>
      <w:r>
        <w:t>Изменение возможно по запросу с причиной и новым доказательством.</w:t>
      </w:r>
    </w:p>
    <w:p>
      <w:pPr>
        <w:pStyle w:val="ListNumber"/>
      </w:pPr>
      <w:r>
        <w:t>Система хранит аудит действий и не удаляет прежний результат из истории.</w:t>
      </w:r>
    </w:p>
    <w:p>
      <w:pPr>
        <w:pStyle w:val="ListNumber"/>
      </w:pPr>
      <w:r>
        <w:t>Аномалии, округления и несопоставимые периоды получают флаг для эксперта.</w:t>
      </w:r>
    </w:p>
    <w:p>
      <w:r>
        <w:br w:type="page"/>
      </w:r>
    </w:p>
    <w:p>
      <w:pPr>
        <w:pStyle w:val="Heading1"/>
      </w:pPr>
      <w:r>
        <w:t>14 Пример расчёта</w:t>
      </w:r>
    </w:p>
    <w:p>
      <w:r>
        <w:t>Условный отель имеет восемь применимых направлений общим весом 87. Набрал 52,2 доказательных балла. Итог: 100 × 52,2 / 87 = 60,0. Доля начисления, подтверждённая документами, составила 74%. Публичное представление: «ЭкоБалл 60/100; подтверждено 74% данных; срез от [дата]». Если критическое условие не выполнено, отметка подтверждения не выдаётся при сохранении того же балла.</w:t>
      </w:r>
    </w:p>
    <w:p>
      <w:pPr>
        <w:pStyle w:val="Heading1"/>
      </w:pPr>
      <w:r>
        <w:t>15 Рекомендации</w:t>
      </w:r>
    </w:p>
    <w:p>
      <w:pPr>
        <w:pStyle w:val="ListBullet"/>
      </w:pPr>
      <w:r>
        <w:t>сначала закрываются критические условия и пробелы обязательных данных;</w:t>
      </w:r>
    </w:p>
    <w:p>
      <w:pPr>
        <w:pStyle w:val="ListBullet"/>
      </w:pPr>
      <w:r>
        <w:t>далее выбираются три направления с максимальным резервом баллов;</w:t>
      </w:r>
    </w:p>
    <w:p>
      <w:pPr>
        <w:pStyle w:val="ListBullet"/>
      </w:pPr>
      <w:r>
        <w:t>рекомендации делятся на 30, 60 и 90 дней;</w:t>
      </w:r>
    </w:p>
    <w:p>
      <w:pPr>
        <w:pStyle w:val="ListBullet"/>
      </w:pPr>
      <w:r>
        <w:t>для каждой меры указываются действие, ответственный, доказательство и измеримый эффект;</w:t>
      </w:r>
    </w:p>
    <w:p>
      <w:pPr>
        <w:pStyle w:val="ListBullet"/>
      </w:pPr>
      <w:r>
        <w:t>продукты и поставщики приводятся как категории выбора, без скрытой рекламы и гарантии результата.</w:t>
      </w:r>
    </w:p>
    <w:p>
      <w:pPr>
        <w:pStyle w:val="Heading1"/>
      </w:pPr>
      <w:r>
        <w:t>16 Версионирование</w:t>
      </w:r>
    </w:p>
    <w:p>
      <w:r>
        <w:t>Каждый срез хранит версию методики. Изменение весов, формулы, порогов или набора критериев повышает версию. Прошлые результаты не пересчитываются молча; при сравнении показывается применённая версия.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93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3655D"/>
        <w:sz w:val="15"/>
      </w:rPr>
      <w:t xml:space="preserve">ИП Лобов А.А. · ИНН 910800051911 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3655D"/>
        <w:sz w:val="15"/>
      </w:rPr>
      <w:t>ЭКОРЕЙТИНГ · Методика ЭкоРейтинга · 1.2 (проект)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D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Bebas Neue" w:hAnsi="Bebas Neue" w:cs="Bebas Neue" w:eastAsia="Bebas Neue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Bebas Neue" w:hAnsi="Bebas Neue" w:cs="Bebas Neue" w:eastAsia="Bebas Neue"/>
      <w:b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ЭкоРейтинга</dc:title>
  <dc:subject>Система ЭкоРейтинг для средств размещения</dc:subject>
  <dc:creator>ИП Лобов А.А.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